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AF" w:rsidRPr="006B1402" w:rsidRDefault="00673D87" w:rsidP="00DC71A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0"/>
        <w:gridCol w:w="1755"/>
        <w:gridCol w:w="5287"/>
      </w:tblGrid>
      <w:tr w:rsidR="00DC71AF" w:rsidRPr="00D25B21" w:rsidTr="00D25B21">
        <w:tc>
          <w:tcPr>
            <w:tcW w:w="2200" w:type="dxa"/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Title</w:t>
            </w:r>
          </w:p>
        </w:tc>
        <w:tc>
          <w:tcPr>
            <w:tcW w:w="7042" w:type="dxa"/>
            <w:gridSpan w:val="2"/>
          </w:tcPr>
          <w:p w:rsidR="00DC71AF" w:rsidRPr="00D25B21" w:rsidRDefault="00F55CBE" w:rsidP="00DF6C0D">
            <w:pPr>
              <w:spacing w:before="60" w:after="6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55CBE">
              <w:rPr>
                <w:rFonts w:ascii="Verdana" w:hAnsi="Verdana"/>
                <w:b/>
                <w:color w:val="000000"/>
                <w:sz w:val="20"/>
                <w:szCs w:val="20"/>
              </w:rPr>
              <w:t>Demonstrate skills in filleting fish by hand</w:t>
            </w:r>
          </w:p>
        </w:tc>
      </w:tr>
      <w:tr w:rsidR="00DC71AF" w:rsidRPr="00D25B21" w:rsidTr="00D25B21">
        <w:tc>
          <w:tcPr>
            <w:tcW w:w="2200" w:type="dxa"/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Level</w:t>
            </w:r>
          </w:p>
        </w:tc>
        <w:tc>
          <w:tcPr>
            <w:tcW w:w="7042" w:type="dxa"/>
            <w:gridSpan w:val="2"/>
          </w:tcPr>
          <w:p w:rsidR="00DC71AF" w:rsidRPr="00D25B21" w:rsidRDefault="00D42AD4" w:rsidP="00D25B21">
            <w:pPr>
              <w:spacing w:before="60" w:after="6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DC71AF" w:rsidRPr="00D25B21" w:rsidTr="00D25B21">
        <w:tc>
          <w:tcPr>
            <w:tcW w:w="2200" w:type="dxa"/>
            <w:tcBorders>
              <w:bottom w:val="single" w:sz="4" w:space="0" w:color="auto"/>
            </w:tcBorders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Credit value</w:t>
            </w:r>
          </w:p>
        </w:tc>
        <w:tc>
          <w:tcPr>
            <w:tcW w:w="7042" w:type="dxa"/>
            <w:gridSpan w:val="2"/>
            <w:tcBorders>
              <w:bottom w:val="single" w:sz="4" w:space="0" w:color="auto"/>
            </w:tcBorders>
          </w:tcPr>
          <w:p w:rsidR="00DC71AF" w:rsidRPr="00D25B21" w:rsidRDefault="001E5700" w:rsidP="00D25B21">
            <w:pPr>
              <w:spacing w:before="60" w:after="6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DC71AF" w:rsidRPr="00D25B21" w:rsidTr="00D25B21">
        <w:tc>
          <w:tcPr>
            <w:tcW w:w="3955" w:type="dxa"/>
            <w:gridSpan w:val="2"/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Learning Outcomes</w:t>
            </w:r>
          </w:p>
        </w:tc>
        <w:tc>
          <w:tcPr>
            <w:tcW w:w="5287" w:type="dxa"/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Assessment Criteria</w:t>
            </w:r>
          </w:p>
        </w:tc>
      </w:tr>
      <w:tr w:rsidR="00DC71AF" w:rsidRPr="00D25B21" w:rsidTr="00D25B21"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The learner will:</w:t>
            </w:r>
          </w:p>
        </w:tc>
        <w:tc>
          <w:tcPr>
            <w:tcW w:w="5287" w:type="dxa"/>
            <w:tcBorders>
              <w:bottom w:val="single" w:sz="4" w:space="0" w:color="auto"/>
            </w:tcBorders>
            <w:shd w:val="clear" w:color="auto" w:fill="E6E6E6"/>
          </w:tcPr>
          <w:p w:rsidR="00DC71AF" w:rsidRPr="00D25B21" w:rsidRDefault="00DC71AF" w:rsidP="00D25B21">
            <w:pPr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25B21">
              <w:rPr>
                <w:rFonts w:ascii="Verdana" w:hAnsi="Verdana"/>
                <w:b/>
                <w:sz w:val="20"/>
                <w:szCs w:val="20"/>
              </w:rPr>
              <w:t>The learner can:</w:t>
            </w:r>
          </w:p>
        </w:tc>
      </w:tr>
      <w:tr w:rsidR="00D401EF" w:rsidRPr="00D25B21" w:rsidTr="00D25B21">
        <w:trPr>
          <w:trHeight w:val="80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CBE" w:rsidRPr="00F55CBE" w:rsidRDefault="00F55CBE" w:rsidP="00F55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 xml:space="preserve">1.  Prepare to fillet fish by hand            </w:t>
            </w:r>
          </w:p>
          <w:p w:rsidR="00D401EF" w:rsidRPr="00D25B21" w:rsidRDefault="00D401EF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401EF" w:rsidRPr="00D25B21" w:rsidRDefault="00D401EF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CBE" w:rsidRPr="00F55CBE" w:rsidRDefault="00F55CBE" w:rsidP="00862E10">
            <w:pPr>
              <w:numPr>
                <w:ilvl w:val="0"/>
                <w:numId w:val="1"/>
              </w:numPr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Obtain the fish filleting specification</w:t>
            </w:r>
          </w:p>
          <w:p w:rsidR="00F55CBE" w:rsidRPr="00F55CBE" w:rsidRDefault="00F55CBE" w:rsidP="00862E10">
            <w:pPr>
              <w:numPr>
                <w:ilvl w:val="0"/>
                <w:numId w:val="1"/>
              </w:numPr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 xml:space="preserve">Prepare the work area, tools and equipment for hand filleting </w:t>
            </w:r>
          </w:p>
          <w:p w:rsidR="002D1856" w:rsidRPr="00D25B21" w:rsidRDefault="00F55CBE" w:rsidP="00862E10">
            <w:pPr>
              <w:numPr>
                <w:ilvl w:val="0"/>
                <w:numId w:val="1"/>
              </w:numPr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Take action to deal with any problems that may affect filleting.</w:t>
            </w:r>
          </w:p>
        </w:tc>
      </w:tr>
      <w:tr w:rsidR="00D401EF" w:rsidRPr="00D25B21" w:rsidTr="00D25B21">
        <w:trPr>
          <w:trHeight w:val="80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5700" w:rsidRPr="001E5700" w:rsidRDefault="001E5700" w:rsidP="001E570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5700">
              <w:rPr>
                <w:rFonts w:ascii="Verdana" w:hAnsi="Verdana"/>
                <w:sz w:val="20"/>
                <w:szCs w:val="20"/>
              </w:rPr>
              <w:t xml:space="preserve">2.  </w:t>
            </w:r>
            <w:r w:rsidR="00F55CBE">
              <w:rPr>
                <w:rFonts w:ascii="Verdana" w:hAnsi="Verdana"/>
                <w:sz w:val="20"/>
                <w:szCs w:val="20"/>
              </w:rPr>
              <w:t>Fillet fish by hand</w:t>
            </w:r>
          </w:p>
          <w:p w:rsidR="00D401EF" w:rsidRPr="00D25B21" w:rsidRDefault="00D401EF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CBE" w:rsidRPr="00F55CBE" w:rsidRDefault="00F55CBE" w:rsidP="00862E10">
            <w:pPr>
              <w:numPr>
                <w:ilvl w:val="0"/>
                <w:numId w:val="2"/>
              </w:numPr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Obtain the fish and assess their suitability for hand filleting</w:t>
            </w:r>
          </w:p>
          <w:p w:rsidR="00F55CBE" w:rsidRPr="00F55CBE" w:rsidRDefault="00F55CBE" w:rsidP="00862E10">
            <w:pPr>
              <w:numPr>
                <w:ilvl w:val="0"/>
                <w:numId w:val="2"/>
              </w:numPr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Fillet fish to achieve required yield and quality standards</w:t>
            </w:r>
          </w:p>
          <w:p w:rsidR="00F55CBE" w:rsidRPr="00F55CBE" w:rsidRDefault="00F55CBE" w:rsidP="00862E10">
            <w:pPr>
              <w:numPr>
                <w:ilvl w:val="0"/>
                <w:numId w:val="2"/>
              </w:numPr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Trim fillets to achieve specified appearance</w:t>
            </w:r>
          </w:p>
          <w:p w:rsidR="00F55CBE" w:rsidRPr="00F55CBE" w:rsidRDefault="00F55CBE" w:rsidP="00862E10">
            <w:pPr>
              <w:numPr>
                <w:ilvl w:val="0"/>
                <w:numId w:val="2"/>
              </w:numPr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Handle and store fish and fish products to maintain their condition and quality</w:t>
            </w:r>
          </w:p>
          <w:p w:rsidR="00561E9F" w:rsidRPr="00DF5129" w:rsidRDefault="00F55CBE" w:rsidP="00862E10">
            <w:pPr>
              <w:numPr>
                <w:ilvl w:val="0"/>
                <w:numId w:val="2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Take action to deal with problems when filleting.</w:t>
            </w:r>
          </w:p>
        </w:tc>
      </w:tr>
      <w:tr w:rsidR="008B4711" w:rsidRPr="00D25B21" w:rsidTr="00D25B21">
        <w:trPr>
          <w:trHeight w:val="80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5700" w:rsidRPr="001E5700" w:rsidRDefault="001E5700" w:rsidP="001E570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5700">
              <w:rPr>
                <w:rFonts w:ascii="Verdana" w:hAnsi="Verdana"/>
                <w:sz w:val="20"/>
                <w:szCs w:val="20"/>
              </w:rPr>
              <w:t xml:space="preserve">3.  </w:t>
            </w:r>
            <w:r w:rsidR="00F55CBE" w:rsidRPr="00F55CBE">
              <w:rPr>
                <w:rFonts w:ascii="Verdana" w:hAnsi="Verdana"/>
                <w:sz w:val="20"/>
                <w:szCs w:val="20"/>
              </w:rPr>
              <w:t xml:space="preserve">Maintain tools and the workstation when filleting fish by hand    </w:t>
            </w:r>
          </w:p>
          <w:p w:rsidR="008B4711" w:rsidRPr="00D25B21" w:rsidRDefault="008B4711" w:rsidP="00E4360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CBE" w:rsidRPr="00F55CBE" w:rsidRDefault="00F55CBE" w:rsidP="00862E10">
            <w:pPr>
              <w:numPr>
                <w:ilvl w:val="0"/>
                <w:numId w:val="4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Maintain the condition and cleanliness of the workstation throughout the filleting process</w:t>
            </w:r>
          </w:p>
          <w:p w:rsidR="00F55CBE" w:rsidRPr="00F55CBE" w:rsidRDefault="00F55CBE" w:rsidP="00862E10">
            <w:pPr>
              <w:numPr>
                <w:ilvl w:val="0"/>
                <w:numId w:val="4"/>
              </w:numPr>
              <w:tabs>
                <w:tab w:val="clear" w:pos="454"/>
              </w:tabs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Keep knives sharp to maintain their effectiveness</w:t>
            </w:r>
          </w:p>
          <w:p w:rsidR="008B4711" w:rsidRPr="00DF5129" w:rsidRDefault="00F55CBE" w:rsidP="00862E10">
            <w:pPr>
              <w:numPr>
                <w:ilvl w:val="0"/>
                <w:numId w:val="4"/>
              </w:numPr>
              <w:spacing w:afterLines="120" w:line="240" w:lineRule="auto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Store knives safely during use and after use.</w:t>
            </w:r>
          </w:p>
        </w:tc>
      </w:tr>
      <w:tr w:rsidR="00D42AD4" w:rsidRPr="00D25B21" w:rsidTr="00D25B21">
        <w:trPr>
          <w:trHeight w:val="80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AD4" w:rsidRPr="00DB0183" w:rsidRDefault="00051795" w:rsidP="00D42AD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51795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05179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5CBE" w:rsidRPr="00F55CBE">
              <w:rPr>
                <w:rFonts w:ascii="Verdana" w:hAnsi="Verdana"/>
                <w:sz w:val="20"/>
                <w:szCs w:val="20"/>
              </w:rPr>
              <w:t>Finish hand filleting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CBE" w:rsidRPr="00F55CBE" w:rsidRDefault="00F55CBE" w:rsidP="00862E10">
            <w:pPr>
              <w:numPr>
                <w:ilvl w:val="0"/>
                <w:numId w:val="5"/>
              </w:numPr>
              <w:tabs>
                <w:tab w:val="num" w:pos="454"/>
              </w:tabs>
              <w:spacing w:afterLines="120" w:line="240" w:lineRule="auto"/>
              <w:ind w:left="440" w:hanging="426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Follow procedures to deal with materials that can be recycled or reworked and dispose of waste material</w:t>
            </w:r>
          </w:p>
          <w:p w:rsidR="00F55CBE" w:rsidRPr="00F55CBE" w:rsidRDefault="00F55CBE" w:rsidP="00862E10">
            <w:pPr>
              <w:numPr>
                <w:ilvl w:val="0"/>
                <w:numId w:val="5"/>
              </w:numPr>
              <w:tabs>
                <w:tab w:val="num" w:pos="454"/>
              </w:tabs>
              <w:spacing w:afterLines="120" w:line="240" w:lineRule="auto"/>
              <w:ind w:left="440" w:hanging="426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Make the workstation and equipment ready for future use after filleting is completed</w:t>
            </w:r>
          </w:p>
          <w:p w:rsidR="00D42AD4" w:rsidRPr="00D42AD4" w:rsidRDefault="00F55CBE" w:rsidP="00862E10">
            <w:pPr>
              <w:numPr>
                <w:ilvl w:val="0"/>
                <w:numId w:val="5"/>
              </w:numPr>
              <w:spacing w:afterLines="120" w:line="240" w:lineRule="auto"/>
              <w:ind w:left="440" w:hanging="426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Contribute to maintaining records of filleting activity.</w:t>
            </w:r>
          </w:p>
        </w:tc>
      </w:tr>
      <w:tr w:rsidR="001E5700" w:rsidRPr="00D25B21" w:rsidTr="00D25B21">
        <w:trPr>
          <w:trHeight w:val="80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5700" w:rsidRPr="00336A2D" w:rsidRDefault="00F55CBE" w:rsidP="00D42AD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1E5700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F55CBE">
              <w:rPr>
                <w:rFonts w:ascii="Verdana" w:hAnsi="Verdana" w:cs="Arial"/>
                <w:sz w:val="20"/>
                <w:szCs w:val="20"/>
              </w:rPr>
              <w:t>Understand how to fillet fish by hand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CBE" w:rsidRPr="00F55CBE" w:rsidRDefault="00F55CBE" w:rsidP="00862E10">
            <w:pPr>
              <w:numPr>
                <w:ilvl w:val="0"/>
                <w:numId w:val="16"/>
              </w:numPr>
              <w:spacing w:afterLines="120" w:line="240" w:lineRule="auto"/>
              <w:ind w:left="440" w:hanging="440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Outline the importance if working accurately, hygienically and safely</w:t>
            </w:r>
          </w:p>
          <w:p w:rsidR="00F55CBE" w:rsidRPr="00F55CBE" w:rsidRDefault="00F55CBE" w:rsidP="00862E10">
            <w:pPr>
              <w:numPr>
                <w:ilvl w:val="0"/>
                <w:numId w:val="16"/>
              </w:numPr>
              <w:spacing w:afterLines="120" w:line="240" w:lineRule="auto"/>
              <w:ind w:left="440" w:hanging="440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lastRenderedPageBreak/>
              <w:t>Explain how to interpret a fish filleting specification</w:t>
            </w:r>
          </w:p>
          <w:p w:rsidR="00F55CBE" w:rsidRPr="00F55CBE" w:rsidRDefault="00F55CBE" w:rsidP="00862E10">
            <w:pPr>
              <w:numPr>
                <w:ilvl w:val="0"/>
                <w:numId w:val="16"/>
              </w:numPr>
              <w:spacing w:afterLines="120" w:line="240" w:lineRule="auto"/>
              <w:ind w:left="440" w:hanging="440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List the good working practices that apply to the hand filleting of fish</w:t>
            </w:r>
          </w:p>
          <w:p w:rsidR="00F55CBE" w:rsidRPr="00F55CBE" w:rsidRDefault="00F55CBE" w:rsidP="00862E10">
            <w:pPr>
              <w:numPr>
                <w:ilvl w:val="0"/>
                <w:numId w:val="16"/>
              </w:numPr>
              <w:spacing w:afterLines="120" w:line="240" w:lineRule="auto"/>
              <w:ind w:left="440" w:hanging="440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Describe the criteria used to assess the suitability of fish for hand filleting</w:t>
            </w:r>
          </w:p>
          <w:p w:rsidR="00F55CBE" w:rsidRPr="00F55CBE" w:rsidRDefault="00F55CBE" w:rsidP="00862E10">
            <w:pPr>
              <w:numPr>
                <w:ilvl w:val="0"/>
                <w:numId w:val="16"/>
              </w:numPr>
              <w:spacing w:afterLines="120" w:line="240" w:lineRule="auto"/>
              <w:ind w:left="440" w:hanging="440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List the quality, yield and throughput criteria used in filleting</w:t>
            </w:r>
          </w:p>
          <w:p w:rsidR="001E5700" w:rsidRPr="001E5700" w:rsidRDefault="00F55CBE" w:rsidP="00862E10">
            <w:pPr>
              <w:numPr>
                <w:ilvl w:val="0"/>
                <w:numId w:val="16"/>
              </w:numPr>
              <w:spacing w:afterLines="120" w:line="240" w:lineRule="auto"/>
              <w:ind w:left="440" w:hanging="440"/>
              <w:rPr>
                <w:rFonts w:ascii="Verdana" w:hAnsi="Verdana"/>
                <w:sz w:val="20"/>
                <w:szCs w:val="20"/>
              </w:rPr>
            </w:pPr>
            <w:r w:rsidRPr="00F55CBE">
              <w:rPr>
                <w:rFonts w:ascii="Verdana" w:hAnsi="Verdana"/>
                <w:sz w:val="20"/>
                <w:szCs w:val="20"/>
              </w:rPr>
              <w:t>Describe typical problems that could occur during hand filleting and how to deal with them.</w:t>
            </w:r>
          </w:p>
        </w:tc>
      </w:tr>
      <w:tr w:rsidR="008B4711" w:rsidRPr="00D25B21" w:rsidTr="00D25B21">
        <w:tc>
          <w:tcPr>
            <w:tcW w:w="9242" w:type="dxa"/>
            <w:gridSpan w:val="3"/>
            <w:shd w:val="clear" w:color="auto" w:fill="E6E6E6"/>
          </w:tcPr>
          <w:p w:rsidR="008B4711" w:rsidRPr="00D25B21" w:rsidRDefault="008B4711" w:rsidP="00D25B21">
            <w:pPr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lastRenderedPageBreak/>
              <w:t>Additional information about the unit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purpose and aim(s)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color w:val="D9D9D9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5284C" w:rsidRDefault="008B4711" w:rsidP="00D528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 xml:space="preserve">This unit supports vocational development for those who need to demonstrate skills and knowledge in </w:t>
            </w:r>
            <w:r w:rsidR="00F55CBE">
              <w:rPr>
                <w:rFonts w:ascii="Verdana" w:hAnsi="Verdana"/>
                <w:sz w:val="20"/>
                <w:szCs w:val="20"/>
              </w:rPr>
              <w:t xml:space="preserve">filleting fish </w:t>
            </w:r>
            <w:r w:rsidR="00BB1A08">
              <w:rPr>
                <w:rFonts w:ascii="Verdana" w:hAnsi="Verdana"/>
                <w:sz w:val="20"/>
                <w:szCs w:val="20"/>
              </w:rPr>
              <w:t>by hand</w:t>
            </w:r>
            <w:r w:rsidRPr="00D5284C">
              <w:rPr>
                <w:rFonts w:ascii="Verdana" w:hAnsi="Verdana"/>
                <w:sz w:val="20"/>
                <w:szCs w:val="20"/>
              </w:rPr>
              <w:t xml:space="preserve"> in a learning environment.</w:t>
            </w:r>
          </w:p>
          <w:p w:rsidR="008B4711" w:rsidRPr="00D5284C" w:rsidRDefault="008B4711" w:rsidP="00D528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5284C" w:rsidRDefault="008B4711" w:rsidP="00D528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 xml:space="preserve">The unit is designed for use primarily by those who plan to enter the food and drink industry, in a </w:t>
            </w:r>
            <w:r>
              <w:rPr>
                <w:rFonts w:ascii="Verdana" w:hAnsi="Verdana"/>
                <w:sz w:val="20"/>
                <w:szCs w:val="20"/>
              </w:rPr>
              <w:t>fish and shellfish processing</w:t>
            </w:r>
            <w:r w:rsidRPr="00D5284C">
              <w:rPr>
                <w:rFonts w:ascii="Verdana" w:hAnsi="Verdana"/>
                <w:sz w:val="20"/>
                <w:szCs w:val="20"/>
              </w:rPr>
              <w:t xml:space="preserve"> role. It is designed to assess skills and knowledge demonstrated in a learning environment and it does not confirm competence in the workplace. 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expiry date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color w:val="D9D9D9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Details of the relationship between the unit and relevant national occupational standards or other professional standards or curricula (if appropriate)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color w:val="D9D9D9"/>
                <w:sz w:val="20"/>
                <w:szCs w:val="20"/>
              </w:rPr>
            </w:pPr>
          </w:p>
        </w:tc>
        <w:tc>
          <w:tcPr>
            <w:tcW w:w="5287" w:type="dxa"/>
          </w:tcPr>
          <w:p w:rsidR="00673D87" w:rsidRPr="00D5284C" w:rsidRDefault="008B4711" w:rsidP="00673D87">
            <w:pPr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 xml:space="preserve">This unit of assessment relates directly to Improve Sector Performance Standards (approved as National Occupational Standard) units </w:t>
            </w:r>
            <w:r w:rsidR="00673D87">
              <w:rPr>
                <w:rFonts w:ascii="Verdana" w:hAnsi="Verdana"/>
                <w:sz w:val="20"/>
                <w:szCs w:val="20"/>
              </w:rPr>
              <w:t>FP.101S Fillet fish by hand and FP.102k Understand how to fillet fish by hand.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Assessment requirements or guidance specified by a sector or regulatory body (if appropriate)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color w:val="D9D9D9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Default="008B4711" w:rsidP="00F55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>This unit is designed to assess the skills and understanding of learners when</w:t>
            </w:r>
            <w:r w:rsidR="00DF64FE">
              <w:rPr>
                <w:rFonts w:ascii="Verdana" w:hAnsi="Verdana"/>
                <w:sz w:val="20"/>
                <w:szCs w:val="20"/>
              </w:rPr>
              <w:t xml:space="preserve"> demonstrating skills in</w:t>
            </w:r>
            <w:r w:rsidRPr="00D5284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5CBE">
              <w:rPr>
                <w:rFonts w:ascii="Verdana" w:hAnsi="Verdana"/>
                <w:sz w:val="20"/>
                <w:szCs w:val="20"/>
              </w:rPr>
              <w:t>filleting</w:t>
            </w:r>
            <w:r w:rsidR="00BB1A08">
              <w:rPr>
                <w:rFonts w:ascii="Verdana" w:hAnsi="Verdana"/>
                <w:sz w:val="20"/>
                <w:szCs w:val="20"/>
              </w:rPr>
              <w:t xml:space="preserve"> fish by hand</w:t>
            </w:r>
            <w:r w:rsidRPr="00D5284C">
              <w:rPr>
                <w:rFonts w:ascii="Verdana" w:hAnsi="Verdana"/>
                <w:sz w:val="20"/>
                <w:szCs w:val="20"/>
              </w:rPr>
              <w:t>. It can be assessed off the job in the learning environment.</w:t>
            </w:r>
          </w:p>
          <w:p w:rsidR="008B4711" w:rsidRPr="00D5284C" w:rsidRDefault="008B4711" w:rsidP="00F55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>The learner must demonstrate their skills, knowledge and understanding, to meet</w:t>
            </w:r>
            <w:r w:rsidRPr="00F55C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284C">
              <w:rPr>
                <w:rFonts w:ascii="Verdana" w:hAnsi="Verdana"/>
                <w:sz w:val="20"/>
                <w:szCs w:val="20"/>
              </w:rPr>
              <w:t>all assessment criteria. Assessment methods appropriate to the needs of the learner must be used to generate satisfactory evidence of knowledge and understanding.</w:t>
            </w:r>
          </w:p>
          <w:p w:rsidR="008B4711" w:rsidRPr="00F55CBE" w:rsidRDefault="008B4711" w:rsidP="00F55C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5284C">
              <w:rPr>
                <w:rFonts w:ascii="Verdana" w:hAnsi="Verdana"/>
                <w:sz w:val="20"/>
                <w:szCs w:val="20"/>
              </w:rPr>
              <w:t>The Improve Assessment Strategy sets out the overarching assessment requirements.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Support for the unit from a SSC or appropriate other body (if required)</w:t>
            </w:r>
          </w:p>
        </w:tc>
        <w:tc>
          <w:tcPr>
            <w:tcW w:w="5287" w:type="dxa"/>
          </w:tcPr>
          <w:p w:rsidR="008B4711" w:rsidRPr="00D25B21" w:rsidRDefault="00B07ABE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1398270" cy="633730"/>
                  <wp:effectExtent l="19050" t="0" r="0" b="0"/>
                  <wp:docPr id="1" name="Picture 1" descr="The National Skills Academy for Food and Drin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National Skills Academy for Food and Dr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Location of the unit within the subject/sector classification system</w:t>
            </w: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04 Engineering and Manufacturing Technologies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Name of the organisation submitting the unit</w:t>
            </w: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Improve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Availability for use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Shared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available from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guided learning hours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EB2F64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55CBE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Unit Category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AF7325" w:rsidP="00AF73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Vocational Skill (V</w:t>
            </w:r>
            <w:r w:rsidR="008B4711">
              <w:rPr>
                <w:rFonts w:ascii="Verdana" w:hAnsi="Verdana"/>
                <w:sz w:val="20"/>
                <w:szCs w:val="20"/>
              </w:rPr>
              <w:t>S)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SPS Reference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B07ABE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FP.101S</w:t>
            </w:r>
          </w:p>
        </w:tc>
      </w:tr>
      <w:tr w:rsidR="008B4711" w:rsidRPr="00D25B21" w:rsidTr="00D25B21">
        <w:tc>
          <w:tcPr>
            <w:tcW w:w="3955" w:type="dxa"/>
            <w:gridSpan w:val="2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25B21">
              <w:rPr>
                <w:rFonts w:ascii="Verdana" w:hAnsi="Verdana"/>
                <w:sz w:val="20"/>
                <w:szCs w:val="20"/>
              </w:rPr>
              <w:t>WBA Reference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7" w:type="dxa"/>
          </w:tcPr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92802" w:rsidRPr="00F92802" w:rsidRDefault="00F92802" w:rsidP="00F92802">
            <w:pPr>
              <w:shd w:val="clear" w:color="auto" w:fill="FFFFFF"/>
              <w:spacing w:after="0" w:line="264" w:lineRule="atLeast"/>
              <w:rPr>
                <w:rFonts w:ascii="Verdana" w:hAnsi="Verdana"/>
                <w:sz w:val="19"/>
                <w:szCs w:val="19"/>
              </w:rPr>
            </w:pPr>
            <w:r w:rsidRPr="00F92802">
              <w:rPr>
                <w:rFonts w:ascii="Verdana" w:hAnsi="Verdana"/>
                <w:sz w:val="19"/>
                <w:szCs w:val="19"/>
              </w:rPr>
              <w:t>M/503/2929</w:t>
            </w:r>
          </w:p>
          <w:p w:rsidR="008B4711" w:rsidRPr="00D25B21" w:rsidRDefault="008B4711" w:rsidP="00D25B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C71AF" w:rsidRDefault="00DC71AF" w:rsidP="00DC71AF">
      <w:pPr>
        <w:pStyle w:val="Heading1"/>
        <w:rPr>
          <w:rFonts w:ascii="Verdana" w:hAnsi="Verdana"/>
        </w:rPr>
      </w:pPr>
      <w:bookmarkStart w:id="0" w:name="_Appendix_5_–_1"/>
      <w:bookmarkStart w:id="1" w:name="_Appendix_7_–"/>
      <w:bookmarkEnd w:id="0"/>
      <w:bookmarkEnd w:id="1"/>
    </w:p>
    <w:p w:rsidR="00FB2246" w:rsidRPr="00DC71AF" w:rsidRDefault="00FB2246">
      <w:pPr>
        <w:rPr>
          <w:rFonts w:ascii="Verdana" w:hAnsi="Verdana"/>
          <w:b/>
          <w:bCs/>
          <w:color w:val="365F91"/>
          <w:sz w:val="28"/>
          <w:szCs w:val="28"/>
        </w:rPr>
      </w:pPr>
    </w:p>
    <w:sectPr w:rsidR="00FB2246" w:rsidRPr="00DC71AF" w:rsidSect="00FB2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001" w:rsidRDefault="009E3001" w:rsidP="00DC71AF">
      <w:pPr>
        <w:spacing w:after="0" w:line="240" w:lineRule="auto"/>
      </w:pPr>
      <w:r>
        <w:separator/>
      </w:r>
    </w:p>
  </w:endnote>
  <w:endnote w:type="continuationSeparator" w:id="0">
    <w:p w:rsidR="009E3001" w:rsidRDefault="009E3001" w:rsidP="00DC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57" w:rsidRDefault="005B3A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57" w:rsidRPr="00D25B21" w:rsidRDefault="005B3A57" w:rsidP="005B3A57">
    <w:pPr>
      <w:pStyle w:val="Footer"/>
      <w:rPr>
        <w:rFonts w:ascii="Verdana" w:hAnsi="Verdana"/>
        <w:sz w:val="16"/>
        <w:szCs w:val="16"/>
      </w:rPr>
    </w:pPr>
    <w:r w:rsidRPr="00D25B21">
      <w:rPr>
        <w:rFonts w:ascii="Verdana" w:hAnsi="Verdana"/>
        <w:sz w:val="16"/>
        <w:szCs w:val="16"/>
      </w:rPr>
      <w:t>Unit of Assessment in Fish and Shellfish</w:t>
    </w:r>
  </w:p>
  <w:p w:rsidR="005B3A57" w:rsidRPr="00D25B21" w:rsidRDefault="005B3A57" w:rsidP="005B3A57">
    <w:pPr>
      <w:pStyle w:val="Footer"/>
      <w:rPr>
        <w:rFonts w:ascii="Verdana" w:hAnsi="Verdana"/>
        <w:sz w:val="16"/>
        <w:szCs w:val="16"/>
      </w:rPr>
    </w:pPr>
    <w:r w:rsidRPr="00D25B21">
      <w:rPr>
        <w:rFonts w:ascii="Verdana" w:hAnsi="Verdana"/>
        <w:sz w:val="16"/>
        <w:szCs w:val="16"/>
      </w:rPr>
      <w:t xml:space="preserve">© </w:t>
    </w:r>
    <w:r>
      <w:rPr>
        <w:rFonts w:ascii="Verdana" w:hAnsi="Verdana"/>
        <w:sz w:val="16"/>
        <w:szCs w:val="16"/>
      </w:rPr>
      <w:t>Improve May 2011</w:t>
    </w:r>
  </w:p>
  <w:p w:rsidR="005B3A57" w:rsidRDefault="005B3A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57" w:rsidRDefault="005B3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001" w:rsidRDefault="009E3001" w:rsidP="00DC71AF">
      <w:pPr>
        <w:spacing w:after="0" w:line="240" w:lineRule="auto"/>
      </w:pPr>
      <w:r>
        <w:separator/>
      </w:r>
    </w:p>
  </w:footnote>
  <w:footnote w:type="continuationSeparator" w:id="0">
    <w:p w:rsidR="009E3001" w:rsidRDefault="009E3001" w:rsidP="00DC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57" w:rsidRDefault="005B3A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0" w:rsidRDefault="00B07ABE" w:rsidP="00D401EF">
    <w:pPr>
      <w:pStyle w:val="Header"/>
      <w:jc w:val="right"/>
    </w:pPr>
    <w:r>
      <w:rPr>
        <w:noProof/>
        <w:sz w:val="20"/>
        <w:szCs w:val="20"/>
      </w:rPr>
      <w:drawing>
        <wp:inline distT="0" distB="0" distL="0" distR="0">
          <wp:extent cx="1398270" cy="633730"/>
          <wp:effectExtent l="19050" t="0" r="0" b="0"/>
          <wp:docPr id="2" name="Picture 1" descr="The National Skills Academy for Food and Drin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National Skills Academy for Food and Drin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57" w:rsidRDefault="005B3A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A97"/>
    <w:multiLevelType w:val="hybridMultilevel"/>
    <w:tmpl w:val="C8A28072"/>
    <w:lvl w:ilvl="0" w:tplc="E2C2A7D6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F1503"/>
    <w:multiLevelType w:val="hybridMultilevel"/>
    <w:tmpl w:val="869C95CE"/>
    <w:lvl w:ilvl="0" w:tplc="AA920E62">
      <w:start w:val="1"/>
      <w:numFmt w:val="decimal"/>
      <w:lvlText w:val="6.%1"/>
      <w:lvlJc w:val="left"/>
      <w:pPr>
        <w:ind w:left="12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0D1BBF"/>
    <w:multiLevelType w:val="multilevel"/>
    <w:tmpl w:val="9104EDC8"/>
    <w:lvl w:ilvl="0">
      <w:start w:val="1"/>
      <w:numFmt w:val="decimal"/>
      <w:lvlText w:val="1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178BF"/>
    <w:multiLevelType w:val="hybridMultilevel"/>
    <w:tmpl w:val="31A6F5C4"/>
    <w:lvl w:ilvl="0" w:tplc="8BC223E2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71FDB"/>
    <w:multiLevelType w:val="hybridMultilevel"/>
    <w:tmpl w:val="BD90B556"/>
    <w:lvl w:ilvl="0" w:tplc="28C807DC">
      <w:start w:val="1"/>
      <w:numFmt w:val="decimal"/>
      <w:lvlText w:val="5.%1"/>
      <w:lvlJc w:val="left"/>
      <w:pPr>
        <w:ind w:left="12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DA156E"/>
    <w:multiLevelType w:val="multilevel"/>
    <w:tmpl w:val="D2E2CD4E"/>
    <w:lvl w:ilvl="0">
      <w:start w:val="1"/>
      <w:numFmt w:val="decimal"/>
      <w:lvlText w:val="1.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7C3602"/>
    <w:multiLevelType w:val="hybridMultilevel"/>
    <w:tmpl w:val="DE1C8AE8"/>
    <w:lvl w:ilvl="0" w:tplc="473E6524">
      <w:start w:val="1"/>
      <w:numFmt w:val="decimal"/>
      <w:lvlText w:val="5.%1"/>
      <w:lvlJc w:val="left"/>
      <w:pPr>
        <w:ind w:left="12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4B7070F"/>
    <w:multiLevelType w:val="hybridMultilevel"/>
    <w:tmpl w:val="4CB422D0"/>
    <w:lvl w:ilvl="0" w:tplc="3000BD6C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473E6524">
      <w:start w:val="1"/>
      <w:numFmt w:val="decimal"/>
      <w:lvlText w:val="5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997FC3"/>
    <w:multiLevelType w:val="multilevel"/>
    <w:tmpl w:val="11182ECA"/>
    <w:lvl w:ilvl="0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07A0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C6407A"/>
    <w:multiLevelType w:val="hybridMultilevel"/>
    <w:tmpl w:val="21923CB2"/>
    <w:lvl w:ilvl="0" w:tplc="FBEC5128">
      <w:start w:val="1"/>
      <w:numFmt w:val="decimal"/>
      <w:lvlText w:val="2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45150"/>
    <w:multiLevelType w:val="hybridMultilevel"/>
    <w:tmpl w:val="62A82EAC"/>
    <w:lvl w:ilvl="0" w:tplc="28C807D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86032"/>
    <w:multiLevelType w:val="multilevel"/>
    <w:tmpl w:val="5254FABC"/>
    <w:lvl w:ilvl="0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FA1146"/>
    <w:multiLevelType w:val="hybridMultilevel"/>
    <w:tmpl w:val="85F6ABD0"/>
    <w:lvl w:ilvl="0" w:tplc="AA748EC8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521059"/>
    <w:multiLevelType w:val="hybridMultilevel"/>
    <w:tmpl w:val="BB621224"/>
    <w:lvl w:ilvl="0" w:tplc="3000BD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222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14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2"/>
  </w:num>
  <w:num w:numId="11">
    <w:abstractNumId w:val="7"/>
  </w:num>
  <w:num w:numId="12">
    <w:abstractNumId w:val="6"/>
  </w:num>
  <w:num w:numId="13">
    <w:abstractNumId w:val="1"/>
  </w:num>
  <w:num w:numId="14">
    <w:abstractNumId w:val="15"/>
  </w:num>
  <w:num w:numId="15">
    <w:abstractNumId w:val="8"/>
  </w:num>
  <w:num w:numId="1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1AF"/>
    <w:rsid w:val="00041E5D"/>
    <w:rsid w:val="00051795"/>
    <w:rsid w:val="00072247"/>
    <w:rsid w:val="000F14F2"/>
    <w:rsid w:val="001C441B"/>
    <w:rsid w:val="001E5700"/>
    <w:rsid w:val="002678AB"/>
    <w:rsid w:val="002D1856"/>
    <w:rsid w:val="003016BD"/>
    <w:rsid w:val="00312123"/>
    <w:rsid w:val="003D0B52"/>
    <w:rsid w:val="003D4F15"/>
    <w:rsid w:val="00412245"/>
    <w:rsid w:val="004401DC"/>
    <w:rsid w:val="0045716C"/>
    <w:rsid w:val="004669CE"/>
    <w:rsid w:val="00475761"/>
    <w:rsid w:val="00494616"/>
    <w:rsid w:val="00561E9F"/>
    <w:rsid w:val="005B3A57"/>
    <w:rsid w:val="005C75A3"/>
    <w:rsid w:val="00663AE5"/>
    <w:rsid w:val="00673D87"/>
    <w:rsid w:val="006F612D"/>
    <w:rsid w:val="0075677E"/>
    <w:rsid w:val="00757D7A"/>
    <w:rsid w:val="0078001F"/>
    <w:rsid w:val="007B3591"/>
    <w:rsid w:val="00837DAB"/>
    <w:rsid w:val="00862E10"/>
    <w:rsid w:val="008B4711"/>
    <w:rsid w:val="00904C33"/>
    <w:rsid w:val="00960049"/>
    <w:rsid w:val="009768CE"/>
    <w:rsid w:val="009E3001"/>
    <w:rsid w:val="00AD2114"/>
    <w:rsid w:val="00AF7325"/>
    <w:rsid w:val="00B07ABE"/>
    <w:rsid w:val="00B60DEC"/>
    <w:rsid w:val="00B82A94"/>
    <w:rsid w:val="00B93C7E"/>
    <w:rsid w:val="00BB039A"/>
    <w:rsid w:val="00BB1A08"/>
    <w:rsid w:val="00BD70A4"/>
    <w:rsid w:val="00CB085A"/>
    <w:rsid w:val="00D01233"/>
    <w:rsid w:val="00D25B21"/>
    <w:rsid w:val="00D401EF"/>
    <w:rsid w:val="00D42AD4"/>
    <w:rsid w:val="00D5284C"/>
    <w:rsid w:val="00DA17CB"/>
    <w:rsid w:val="00DB0183"/>
    <w:rsid w:val="00DC71AF"/>
    <w:rsid w:val="00DF5129"/>
    <w:rsid w:val="00DF64FE"/>
    <w:rsid w:val="00DF6C0D"/>
    <w:rsid w:val="00E43600"/>
    <w:rsid w:val="00E50395"/>
    <w:rsid w:val="00E839AB"/>
    <w:rsid w:val="00EA7C06"/>
    <w:rsid w:val="00EB2F64"/>
    <w:rsid w:val="00EC0876"/>
    <w:rsid w:val="00EE3E66"/>
    <w:rsid w:val="00F0645E"/>
    <w:rsid w:val="00F2356B"/>
    <w:rsid w:val="00F55CBE"/>
    <w:rsid w:val="00F92802"/>
    <w:rsid w:val="00FB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AF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1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AF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table" w:styleId="TableGrid">
    <w:name w:val="Table Grid"/>
    <w:basedOn w:val="TableNormal"/>
    <w:rsid w:val="00DC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1AF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AF"/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EF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unhideWhenUsed/>
    <w:rsid w:val="00757D7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8142">
                  <w:marLeft w:val="218"/>
                  <w:marRight w:val="21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7244">
                      <w:marLeft w:val="218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mproveltd.co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mprove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Links>
    <vt:vector size="12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http://www.improveltd.co.uk/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http://www.improveltd.co.uk/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sally.jenkins</dc:creator>
  <cp:lastModifiedBy>Cooper</cp:lastModifiedBy>
  <cp:revision>2</cp:revision>
  <cp:lastPrinted>2011-03-29T14:30:00Z</cp:lastPrinted>
  <dcterms:created xsi:type="dcterms:W3CDTF">2011-06-13T09:11:00Z</dcterms:created>
  <dcterms:modified xsi:type="dcterms:W3CDTF">2011-06-13T09:11:00Z</dcterms:modified>
</cp:coreProperties>
</file>